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40" w:rsidRDefault="00550440" w:rsidP="00550440">
      <w:pPr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  <w:u w:val="single"/>
          <w:lang w:eastAsia="ru-RU"/>
        </w:rPr>
      </w:pPr>
      <w:r w:rsidRPr="00550440">
        <w:rPr>
          <w:rFonts w:ascii="Arial" w:eastAsia="Times New Roman" w:hAnsi="Arial" w:cs="Arial"/>
          <w:color w:val="FF0000"/>
          <w:sz w:val="27"/>
          <w:szCs w:val="27"/>
          <w:u w:val="single"/>
          <w:lang w:eastAsia="ru-RU"/>
        </w:rPr>
        <w:t>Нормативно-правовые документы по дополнительному образованию:</w:t>
      </w:r>
    </w:p>
    <w:p w:rsidR="00550440" w:rsidRPr="00550440" w:rsidRDefault="00550440" w:rsidP="00550440">
      <w:pPr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  <w:r w:rsidRPr="00550440">
        <w:rPr>
          <w:rFonts w:ascii="Arial" w:eastAsia="Times New Roman" w:hAnsi="Arial" w:cs="Arial"/>
          <w:color w:val="FF0000"/>
          <w:sz w:val="27"/>
          <w:szCs w:val="27"/>
          <w:lang w:eastAsia="ru-RU"/>
        </w:rPr>
        <w:t>(Ссылки на документы)</w:t>
      </w:r>
    </w:p>
    <w:p w:rsidR="00550440" w:rsidRPr="00550440" w:rsidRDefault="00550440" w:rsidP="00550440">
      <w:pPr>
        <w:spacing w:after="0" w:line="240" w:lineRule="auto"/>
        <w:rPr>
          <w:rFonts w:ascii="Arial" w:eastAsia="Times New Roman" w:hAnsi="Arial" w:cs="Arial"/>
          <w:color w:val="FF0000"/>
          <w:sz w:val="27"/>
          <w:szCs w:val="27"/>
          <w:lang w:eastAsia="ru-RU"/>
        </w:rPr>
      </w:pP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4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Постановление Правительства Российской Федерации "Об утверждении Правил поведения, обязательных для испол</w:t>
        </w:r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н</w:t>
        </w:r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 xml:space="preserve">ения гражданами и организациями, при введении режима повышенной </w:t>
        </w:r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г</w:t>
        </w:r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отовности или чрезвычайной ситуации"</w:t>
        </w:r>
      </w:hyperlink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5" w:anchor="?tag=57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Нормативно-правовая база</w:t>
        </w:r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r w:rsidRPr="00550440">
        <w:rPr>
          <w:rFonts w:eastAsia="Times New Roman"/>
          <w:color w:val="0070C0"/>
          <w:sz w:val="24"/>
          <w:szCs w:val="24"/>
          <w:lang w:eastAsia="ru-RU"/>
        </w:rPr>
        <w:t>02.04.2020</w:t>
      </w: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6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Приказ Министерства просвещения Российской Федерации "Об утверждении Целевой модели развития региональных систем развития</w:t>
        </w:r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 xml:space="preserve"> </w:t>
        </w:r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дополнительного образования детей" ​</w:t>
        </w:r>
      </w:hyperlink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7" w:anchor="?tag=50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Дополнительное образование</w:t>
        </w:r>
        <w:r w:rsidRPr="00550440">
          <w:rPr>
            <w:rFonts w:eastAsia="Times New Roman"/>
            <w:color w:val="0070C0"/>
            <w:sz w:val="24"/>
            <w:szCs w:val="24"/>
            <w:lang w:eastAsia="ru-RU"/>
          </w:rPr>
          <w:t>, </w:t>
        </w:r>
        <w:proofErr w:type="spellStart"/>
      </w:hyperlink>
      <w:hyperlink r:id="rId8" w:anchor="?tag=60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Минпросвещения</w:t>
        </w:r>
        <w:proofErr w:type="spellEnd"/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r w:rsidRPr="00550440">
        <w:rPr>
          <w:rFonts w:eastAsia="Times New Roman"/>
          <w:color w:val="0070C0"/>
          <w:sz w:val="24"/>
          <w:szCs w:val="24"/>
          <w:lang w:eastAsia="ru-RU"/>
        </w:rPr>
        <w:t>03.09.2019</w:t>
      </w: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9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Доклад Правительства Российской Федерации Федеральному Собранию Российской Федерации о реализации государственной политики в сфере образования</w:t>
        </w:r>
      </w:hyperlink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10" w:anchor="?tag=57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Нормативно-правовая база</w:t>
        </w:r>
        <w:r w:rsidRPr="00550440">
          <w:rPr>
            <w:rFonts w:eastAsia="Times New Roman"/>
            <w:color w:val="0070C0"/>
            <w:sz w:val="24"/>
            <w:szCs w:val="24"/>
            <w:lang w:eastAsia="ru-RU"/>
          </w:rPr>
          <w:t>, </w:t>
        </w:r>
      </w:hyperlink>
      <w:hyperlink r:id="rId11" w:anchor="?tag=50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Дополнительное образование</w:t>
        </w:r>
        <w:r w:rsidRPr="00550440">
          <w:rPr>
            <w:rFonts w:eastAsia="Times New Roman"/>
            <w:color w:val="0070C0"/>
            <w:sz w:val="24"/>
            <w:szCs w:val="24"/>
            <w:lang w:eastAsia="ru-RU"/>
          </w:rPr>
          <w:t>, </w:t>
        </w:r>
        <w:proofErr w:type="spellStart"/>
      </w:hyperlink>
      <w:hyperlink r:id="rId12" w:anchor="?tag=60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Минпросвещения</w:t>
        </w:r>
        <w:proofErr w:type="spellEnd"/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r w:rsidRPr="00550440">
        <w:rPr>
          <w:rFonts w:eastAsia="Times New Roman"/>
          <w:color w:val="0070C0"/>
          <w:sz w:val="24"/>
          <w:szCs w:val="24"/>
          <w:lang w:eastAsia="ru-RU"/>
        </w:rPr>
        <w:t>06.06.2019</w:t>
      </w: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13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Паспорт национального проекта "Культура"</w:t>
        </w:r>
      </w:hyperlink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14" w:anchor="?tag=71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Нацпроект</w:t>
        </w:r>
        <w:r w:rsidRPr="00550440">
          <w:rPr>
            <w:rFonts w:eastAsia="Times New Roman"/>
            <w:color w:val="0070C0"/>
            <w:sz w:val="24"/>
            <w:szCs w:val="24"/>
            <w:lang w:eastAsia="ru-RU"/>
          </w:rPr>
          <w:t>, </w:t>
        </w:r>
      </w:hyperlink>
      <w:hyperlink r:id="rId15" w:anchor="?tag=57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Нормативно-правовая база</w:t>
        </w:r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r w:rsidRPr="00550440">
        <w:rPr>
          <w:rFonts w:eastAsia="Times New Roman"/>
          <w:color w:val="0070C0"/>
          <w:sz w:val="24"/>
          <w:szCs w:val="24"/>
          <w:lang w:eastAsia="ru-RU"/>
        </w:rPr>
        <w:t>24.12.2018</w:t>
      </w: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16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Паспорт национального проекта "Образование"</w:t>
        </w:r>
      </w:hyperlink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17" w:anchor="?tag=71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Нацпроект</w:t>
        </w:r>
        <w:r w:rsidRPr="00550440">
          <w:rPr>
            <w:rFonts w:eastAsia="Times New Roman"/>
            <w:color w:val="0070C0"/>
            <w:sz w:val="24"/>
            <w:szCs w:val="24"/>
            <w:lang w:eastAsia="ru-RU"/>
          </w:rPr>
          <w:t>, </w:t>
        </w:r>
      </w:hyperlink>
      <w:hyperlink r:id="rId18" w:anchor="?tag=57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Нормативно-правовая база</w:t>
        </w:r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r w:rsidRPr="00550440">
        <w:rPr>
          <w:rFonts w:eastAsia="Times New Roman"/>
          <w:color w:val="0070C0"/>
          <w:sz w:val="24"/>
          <w:szCs w:val="24"/>
          <w:lang w:eastAsia="ru-RU"/>
        </w:rPr>
        <w:t>24.12.2018</w:t>
      </w: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19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Приказ Министерства просвещения Российской Федерации "Об утверждении Порядка организации и осуществления образовательной деятельности по дополнительным общеобразовательным программам"</w:t>
        </w:r>
      </w:hyperlink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20" w:anchor="?tag=60" w:history="1">
        <w:proofErr w:type="spellStart"/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50440">
          <w:rPr>
            <w:rFonts w:eastAsia="Times New Roman"/>
            <w:color w:val="0070C0"/>
            <w:sz w:val="24"/>
            <w:szCs w:val="24"/>
            <w:lang w:eastAsia="ru-RU"/>
          </w:rPr>
          <w:t>, </w:t>
        </w:r>
      </w:hyperlink>
      <w:hyperlink r:id="rId21" w:anchor="?tag=50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Дополнительное образование</w:t>
        </w:r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r w:rsidRPr="00550440">
        <w:rPr>
          <w:rFonts w:eastAsia="Times New Roman"/>
          <w:color w:val="0070C0"/>
          <w:sz w:val="24"/>
          <w:szCs w:val="24"/>
          <w:lang w:eastAsia="ru-RU"/>
        </w:rPr>
        <w:t>09.11.2018</w:t>
      </w: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22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План основных мероприятий до 2020 года, проводимых в рамках Десятилетия детства</w:t>
        </w:r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r w:rsidRPr="00550440">
        <w:rPr>
          <w:rFonts w:eastAsia="Times New Roman"/>
          <w:color w:val="0070C0"/>
          <w:sz w:val="24"/>
          <w:szCs w:val="24"/>
          <w:lang w:eastAsia="ru-RU"/>
        </w:rPr>
        <w:t>06.07.2018</w:t>
      </w: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23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Доклад Правительства Российской Федерации Федеральному Собранию Российской Федерации о реализации государственной политики в сфере образования</w:t>
        </w:r>
      </w:hyperlink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24" w:anchor="?tag=50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Дополнительное образование</w:t>
        </w:r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r w:rsidRPr="00550440">
        <w:rPr>
          <w:rFonts w:eastAsia="Times New Roman"/>
          <w:color w:val="0070C0"/>
          <w:sz w:val="24"/>
          <w:szCs w:val="24"/>
          <w:lang w:eastAsia="ru-RU"/>
        </w:rPr>
        <w:t>30.05.2018</w:t>
      </w: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25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План основных мероприятий по подготовке и проведению 100-летия системы дополнительного образования</w:t>
        </w:r>
      </w:hyperlink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26" w:anchor="?tag=60" w:history="1">
        <w:proofErr w:type="spellStart"/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Минпросвещения</w:t>
        </w:r>
        <w:proofErr w:type="spellEnd"/>
        <w:r w:rsidRPr="00550440">
          <w:rPr>
            <w:rFonts w:eastAsia="Times New Roman"/>
            <w:color w:val="0070C0"/>
            <w:sz w:val="24"/>
            <w:szCs w:val="24"/>
            <w:lang w:eastAsia="ru-RU"/>
          </w:rPr>
          <w:t>, </w:t>
        </w:r>
      </w:hyperlink>
      <w:hyperlink r:id="rId27" w:anchor="?tag=50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Дополнительное образование</w:t>
        </w:r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r w:rsidRPr="00550440">
        <w:rPr>
          <w:rFonts w:eastAsia="Times New Roman"/>
          <w:color w:val="0070C0"/>
          <w:sz w:val="24"/>
          <w:szCs w:val="24"/>
          <w:lang w:eastAsia="ru-RU"/>
        </w:rPr>
        <w:t>28.04.2018</w:t>
      </w:r>
    </w:p>
    <w:p w:rsidR="00550440" w:rsidRPr="00550440" w:rsidRDefault="00550440" w:rsidP="00550440">
      <w:pPr>
        <w:spacing w:after="0"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28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Основные принципы создания и функционирования Детских технопарков «</w:t>
        </w:r>
        <w:proofErr w:type="spellStart"/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Кванториум</w:t>
        </w:r>
        <w:proofErr w:type="spellEnd"/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»</w:t>
        </w:r>
      </w:hyperlink>
    </w:p>
    <w:p w:rsidR="00550440" w:rsidRPr="00550440" w:rsidRDefault="00550440" w:rsidP="00550440">
      <w:pPr>
        <w:spacing w:line="240" w:lineRule="auto"/>
        <w:rPr>
          <w:rFonts w:eastAsia="Times New Roman"/>
          <w:color w:val="0070C0"/>
          <w:sz w:val="24"/>
          <w:szCs w:val="24"/>
          <w:lang w:eastAsia="ru-RU"/>
        </w:rPr>
      </w:pPr>
      <w:hyperlink r:id="rId29" w:anchor="?tag=9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Технопарк</w:t>
        </w:r>
        <w:r w:rsidRPr="00550440">
          <w:rPr>
            <w:rFonts w:eastAsia="Times New Roman"/>
            <w:color w:val="0070C0"/>
            <w:sz w:val="24"/>
            <w:szCs w:val="24"/>
            <w:lang w:eastAsia="ru-RU"/>
          </w:rPr>
          <w:t>, </w:t>
        </w:r>
        <w:proofErr w:type="spellStart"/>
      </w:hyperlink>
      <w:hyperlink r:id="rId30" w:anchor="?tag=8" w:history="1">
        <w:r w:rsidRPr="00550440">
          <w:rPr>
            <w:rFonts w:eastAsia="Times New Roman"/>
            <w:color w:val="0070C0"/>
            <w:sz w:val="24"/>
            <w:szCs w:val="24"/>
            <w:u w:val="single"/>
            <w:lang w:eastAsia="ru-RU"/>
          </w:rPr>
          <w:t>Кванториум</w:t>
        </w:r>
        <w:proofErr w:type="spellEnd"/>
      </w:hyperlink>
    </w:p>
    <w:p w:rsidR="00FA2347" w:rsidRPr="00550440" w:rsidRDefault="00FA2347">
      <w:pPr>
        <w:rPr>
          <w:color w:val="0070C0"/>
          <w:sz w:val="24"/>
          <w:szCs w:val="24"/>
        </w:rPr>
      </w:pPr>
    </w:p>
    <w:sectPr w:rsidR="00FA2347" w:rsidRPr="00550440" w:rsidSect="00FA2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50440"/>
    <w:rsid w:val="00550440"/>
    <w:rsid w:val="005D6623"/>
    <w:rsid w:val="00FA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3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50440"/>
    <w:rPr>
      <w:color w:val="0000FF"/>
      <w:u w:val="single"/>
    </w:rPr>
  </w:style>
  <w:style w:type="character" w:customStyle="1" w:styleId="text">
    <w:name w:val="text"/>
    <w:basedOn w:val="a0"/>
    <w:rsid w:val="00550440"/>
  </w:style>
  <w:style w:type="character" w:customStyle="1" w:styleId="ng-scope">
    <w:name w:val="ng-scope"/>
    <w:basedOn w:val="a0"/>
    <w:rsid w:val="00550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66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08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33872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15760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7535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3481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42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51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500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166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682129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16197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990000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3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607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2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5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49317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3311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5543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081123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927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7383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951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93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630358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5622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36420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0695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7025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9247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6156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2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5759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131132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0924700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70754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1545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393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76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66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117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150393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74454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233505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495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31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64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604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25509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158519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88801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92918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9635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359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94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176337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21989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088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58198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971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2357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7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173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680052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134232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2080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539597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639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304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3707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878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90905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single" w:sz="18" w:space="0" w:color="auto"/>
                <w:right w:val="none" w:sz="0" w:space="0" w:color="auto"/>
              </w:divBdr>
              <w:divsChild>
                <w:div w:id="110588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364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6795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0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4167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p.edu.ru/cms/article/list?tag=60" TargetMode="External"/><Relationship Id="rId13" Type="http://schemas.openxmlformats.org/officeDocument/2006/relationships/hyperlink" Target="http://dop.edu.ru/article/22054/pasport-natsionalnogo-proekta-kultura" TargetMode="External"/><Relationship Id="rId18" Type="http://schemas.openxmlformats.org/officeDocument/2006/relationships/hyperlink" Target="http://dop.edu.ru/cms/article/list?tag=57" TargetMode="External"/><Relationship Id="rId26" Type="http://schemas.openxmlformats.org/officeDocument/2006/relationships/hyperlink" Target="http://dop.edu.ru/cms/article/list?tag=6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op.edu.ru/cms/article/list?tag=50" TargetMode="External"/><Relationship Id="rId7" Type="http://schemas.openxmlformats.org/officeDocument/2006/relationships/hyperlink" Target="http://dop.edu.ru/cms/article/list?tag=50" TargetMode="External"/><Relationship Id="rId12" Type="http://schemas.openxmlformats.org/officeDocument/2006/relationships/hyperlink" Target="http://dop.edu.ru/cms/article/list?tag=60" TargetMode="External"/><Relationship Id="rId17" Type="http://schemas.openxmlformats.org/officeDocument/2006/relationships/hyperlink" Target="http://dop.edu.ru/cms/article/list?tag=71" TargetMode="External"/><Relationship Id="rId25" Type="http://schemas.openxmlformats.org/officeDocument/2006/relationships/hyperlink" Target="http://dop.edu.ru/article/11822/plan-osnovnykh-meropriyatii-po-podgotovke-i-provedeniyu-100letiya-sistemy-dopolnitelnogo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op.edu.ru/article/19164/pasport-natsionalnogo-proekta-obrazovanie" TargetMode="External"/><Relationship Id="rId20" Type="http://schemas.openxmlformats.org/officeDocument/2006/relationships/hyperlink" Target="http://dop.edu.ru/cms/article/list?tag=60" TargetMode="External"/><Relationship Id="rId29" Type="http://schemas.openxmlformats.org/officeDocument/2006/relationships/hyperlink" Target="http://dop.edu.ru/cms/article/list?tag=9" TargetMode="External"/><Relationship Id="rId1" Type="http://schemas.openxmlformats.org/officeDocument/2006/relationships/styles" Target="styles.xml"/><Relationship Id="rId6" Type="http://schemas.openxmlformats.org/officeDocument/2006/relationships/hyperlink" Target="http://dop.edu.ru/article/24217/prikaz-ministerstva-prosvescheniya-rossiiskoi-federatsii-ob-utverzhdenii-tselevoi-modeli-razvitiya" TargetMode="External"/><Relationship Id="rId11" Type="http://schemas.openxmlformats.org/officeDocument/2006/relationships/hyperlink" Target="http://dop.edu.ru/cms/article/list?tag=50" TargetMode="External"/><Relationship Id="rId24" Type="http://schemas.openxmlformats.org/officeDocument/2006/relationships/hyperlink" Target="http://dop.edu.ru/cms/article/list?tag=50" TargetMode="External"/><Relationship Id="rId32" Type="http://schemas.openxmlformats.org/officeDocument/2006/relationships/theme" Target="theme/theme1.xml"/><Relationship Id="rId5" Type="http://schemas.openxmlformats.org/officeDocument/2006/relationships/hyperlink" Target="http://dop.edu.ru/cms/article/list?tag=57" TargetMode="External"/><Relationship Id="rId15" Type="http://schemas.openxmlformats.org/officeDocument/2006/relationships/hyperlink" Target="http://dop.edu.ru/cms/article/list?tag=57" TargetMode="External"/><Relationship Id="rId23" Type="http://schemas.openxmlformats.org/officeDocument/2006/relationships/hyperlink" Target="http://dop.edu.ru/article/13231/doklad-pravitelstva-rossiiskoi-federatsii-federalnomu-sobraniyu-rossiiskoi-federatsii-o-realizatsii" TargetMode="External"/><Relationship Id="rId28" Type="http://schemas.openxmlformats.org/officeDocument/2006/relationships/hyperlink" Target="http://dop.edu.ru/article/6261/osnovnye-printsipy-sozdaniya-i-funktsionirovaniya-detskikh-tekhnoparkov-kvantorium" TargetMode="External"/><Relationship Id="rId10" Type="http://schemas.openxmlformats.org/officeDocument/2006/relationships/hyperlink" Target="http://dop.edu.ru/cms/article/list?tag=57" TargetMode="External"/><Relationship Id="rId19" Type="http://schemas.openxmlformats.org/officeDocument/2006/relationships/hyperlink" Target="http://dop.edu.ru/article/16554/prikaz-ministerstva-prosvescheniya-rossiiskoi-federatsii-ob-utverzhdenii-poryadka-organizatsii-i" TargetMode="External"/><Relationship Id="rId31" Type="http://schemas.openxmlformats.org/officeDocument/2006/relationships/fontTable" Target="fontTable.xml"/><Relationship Id="rId4" Type="http://schemas.openxmlformats.org/officeDocument/2006/relationships/hyperlink" Target="http://dop.edu.ru/article/25568/postanovlenie-pravitelstva-rossiiskoi-federatsii-ob-utverzhdenii-pravil-povedeniya-obyazatelnykh" TargetMode="External"/><Relationship Id="rId9" Type="http://schemas.openxmlformats.org/officeDocument/2006/relationships/hyperlink" Target="http://dop.edu.ru/article/21504/doklad-pravitelstva-rossiiskoi-federatsii-federalnomu-sobraniyu-rossiiskoi-federatsii-o-realizatsii" TargetMode="External"/><Relationship Id="rId14" Type="http://schemas.openxmlformats.org/officeDocument/2006/relationships/hyperlink" Target="http://dop.edu.ru/cms/article/list?tag=71" TargetMode="External"/><Relationship Id="rId22" Type="http://schemas.openxmlformats.org/officeDocument/2006/relationships/hyperlink" Target="http://dop.edu.ru/article/13233/plan-osnovnykh-meropriyatii-do-2020-goda-provodimykh-v-ramkakh-desyatiletiya-detstva" TargetMode="External"/><Relationship Id="rId27" Type="http://schemas.openxmlformats.org/officeDocument/2006/relationships/hyperlink" Target="http://dop.edu.ru/cms/article/list?tag=50" TargetMode="External"/><Relationship Id="rId30" Type="http://schemas.openxmlformats.org/officeDocument/2006/relationships/hyperlink" Target="http://dop.edu.ru/cms/article/list?tag=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630</Words>
  <Characters>3591</Characters>
  <Application>Microsoft Office Word</Application>
  <DocSecurity>0</DocSecurity>
  <Lines>29</Lines>
  <Paragraphs>8</Paragraphs>
  <ScaleCrop>false</ScaleCrop>
  <Company/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2020-05-27T16:39:00Z</dcterms:created>
  <dcterms:modified xsi:type="dcterms:W3CDTF">2020-05-27T16:39:00Z</dcterms:modified>
</cp:coreProperties>
</file>